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0A79" w14:textId="1851B13D" w:rsidR="00DE5A71" w:rsidRDefault="00CB46B8" w:rsidP="002775B4">
      <w:pPr>
        <w:spacing w:after="0" w:line="240" w:lineRule="auto"/>
        <w:rPr>
          <w:b/>
          <w:sz w:val="72"/>
          <w:szCs w:val="72"/>
        </w:rPr>
      </w:pPr>
      <w:r>
        <w:rPr>
          <w:noProof/>
        </w:rPr>
        <w:drawing>
          <wp:anchor distT="0" distB="0" distL="114300" distR="114300" simplePos="0" relativeHeight="251659264" behindDoc="0" locked="0" layoutInCell="1" allowOverlap="1" wp14:anchorId="11093400" wp14:editId="4EBCAE06">
            <wp:simplePos x="0" y="0"/>
            <wp:positionH relativeFrom="margin">
              <wp:align>center</wp:align>
            </wp:positionH>
            <wp:positionV relativeFrom="paragraph">
              <wp:posOffset>-676275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6CBF7F99" w14:textId="77777777" w:rsidR="00DE5A71" w:rsidRPr="00F77C48" w:rsidRDefault="00DE5A71" w:rsidP="002775B4">
      <w:pPr>
        <w:spacing w:after="0" w:line="240" w:lineRule="auto"/>
        <w:rPr>
          <w:b/>
          <w:sz w:val="72"/>
          <w:szCs w:val="72"/>
        </w:rPr>
      </w:pPr>
    </w:p>
    <w:p w14:paraId="098F00E7" w14:textId="77777777" w:rsidR="00DE5A71" w:rsidRPr="003A5D94" w:rsidRDefault="00DE5A71" w:rsidP="002775B4">
      <w:pPr>
        <w:pStyle w:val="Heading1"/>
        <w:spacing w:line="240" w:lineRule="auto"/>
        <w:rPr>
          <w:b/>
          <w:color w:val="C00000"/>
          <w:sz w:val="96"/>
          <w:szCs w:val="96"/>
        </w:rPr>
      </w:pPr>
      <w:r w:rsidRPr="00712525">
        <w:rPr>
          <w:b/>
          <w:noProof/>
          <w:color w:val="C00000"/>
          <w:sz w:val="96"/>
          <w:szCs w:val="96"/>
        </w:rPr>
        <w:t>Accessible &amp; Inclusive Tourism Award</w:t>
      </w:r>
    </w:p>
    <w:p w14:paraId="17374EBE" w14:textId="77777777" w:rsidR="00DE5A71" w:rsidRPr="00F77C48" w:rsidRDefault="00DE5A71" w:rsidP="00CB46B8">
      <w:pPr>
        <w:spacing w:after="0" w:line="240" w:lineRule="auto"/>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5E045FAF" w14:textId="77777777" w:rsidR="00CB46B8" w:rsidRDefault="00CB46B8" w:rsidP="002775B4">
      <w:pPr>
        <w:spacing w:after="0" w:line="240" w:lineRule="auto"/>
        <w:rPr>
          <w:rStyle w:val="Strong"/>
          <w:sz w:val="24"/>
        </w:rPr>
      </w:pPr>
    </w:p>
    <w:p w14:paraId="7E2BD38C" w14:textId="49F1D850" w:rsidR="00DE5A71" w:rsidRDefault="00DE5A71" w:rsidP="002775B4">
      <w:pPr>
        <w:spacing w:after="0" w:line="240" w:lineRule="auto"/>
      </w:pPr>
      <w:r w:rsidRPr="007A44B1">
        <w:rPr>
          <w:rStyle w:val="Strong"/>
          <w:sz w:val="24"/>
        </w:rPr>
        <w:lastRenderedPageBreak/>
        <w:t>Closures during judging period</w:t>
      </w:r>
      <w:r w:rsidRPr="007A44B1">
        <w:rPr>
          <w:sz w:val="28"/>
        </w:rPr>
        <w:t xml:space="preserve"> </w:t>
      </w:r>
      <w:r w:rsidR="00CB46B8">
        <w:t>(15 August 2026 – 4 October 2026)</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B3128"/>
    <w:rsid w:val="00AC734C"/>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6B8"/>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20CAA053-D21D-42AF-A4E0-FAD3E91F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78</TotalTime>
  <Pages>13</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2</cp:revision>
  <cp:lastPrinted>2019-01-28T10:23:00Z</cp:lastPrinted>
  <dcterms:created xsi:type="dcterms:W3CDTF">2025-12-31T12:59:00Z</dcterms:created>
  <dcterms:modified xsi:type="dcterms:W3CDTF">2026-06-04T07:46:00Z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